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center"/>
        <w:tblLayout w:type="fixed"/>
        <w:tblLook w:firstColumn="1" w:firstRow="1" w:lastColumn="0" w:lastRow="0" w:noHBand="0" w:noVBand="1" w:val="04A0"/>
      </w:tblPr>
      <w:tblGrid>
        <w:gridCol w:w="5616"/>
        <w:gridCol w:w="4176"/>
      </w:tblGrid>
      <w:tr>
        <w:tc>
          <w:tcPr>
            <w:tcW w:type="dxa" w:w="5040"/>
            <w:tcBorders>
              <w:top w:val="single" w:sz="0" w:space="0" w:color="FFFFFF"/>
              <w:left w:val="single" w:sz="0" w:space="0" w:color="FFFFFF"/>
              <w:bottom w:val="single" w:sz="0" w:space="0" w:color="FFFFFF"/>
              <w:right w:val="single" w:sz="0" w:space="0" w:color="FFFFFF"/>
            </w:tcBorders>
            <w:tcMar>
              <w:top w:w="0" w:type="dxa"/>
              <w:start w:w="0" w:type="dxa"/>
              <w:bottom w:w="0" w:type="dxa"/>
              <w:end w:w="0" w:type="dxa"/>
            </w:tcMar>
          </w:tcPr>
          <w:p>
            <w:pPr>
              <w:spacing w:after="200"/>
            </w:pPr>
            <w:r>
              <w:drawing>
                <wp:inline xmlns:a="http://schemas.openxmlformats.org/drawingml/2006/main" xmlns:pic="http://schemas.openxmlformats.org/drawingml/2006/picture">
                  <wp:extent cx="960120" cy="960120"/>
                  <wp:docPr id="1" name="Picture 1"/>
                  <wp:cNvGraphicFramePr>
                    <a:graphicFrameLocks noChangeAspect="1"/>
                  </wp:cNvGraphicFramePr>
                  <a:graphic>
                    <a:graphicData uri="http://schemas.openxmlformats.org/drawingml/2006/picture">
                      <pic:pic>
                        <pic:nvPicPr>
                          <pic:cNvPr id="0" name="secureobs-logo-new.png"/>
                          <pic:cNvPicPr/>
                        </pic:nvPicPr>
                        <pic:blipFill>
                          <a:blip r:embed="rId11"/>
                          <a:stretch>
                            <a:fillRect/>
                          </a:stretch>
                        </pic:blipFill>
                        <pic:spPr>
                          <a:xfrm>
                            <a:off x="0" y="0"/>
                            <a:ext cx="960120" cy="960120"/>
                          </a:xfrm>
                          <a:prstGeom prst="rect"/>
                        </pic:spPr>
                      </pic:pic>
                    </a:graphicData>
                  </a:graphic>
                </wp:inline>
              </w:drawing>
            </w:r>
          </w:p>
          <w:p>
            <w:pPr>
              <w:spacing w:after="100"/>
            </w:pPr>
            <w:r>
              <w:rPr>
                <w:rFonts w:ascii="Arial" w:hAnsi="Arial"/>
                <w:b/>
                <w:color w:val="08A7B5"/>
                <w:sz w:val="20"/>
              </w:rPr>
              <w:t>HCF AND SECURITY STAFF GUIDE</w:t>
            </w:r>
          </w:p>
          <w:p>
            <w:pPr>
              <w:spacing w:after="200" w:line="228" w:lineRule="auto"/>
            </w:pPr>
            <w:r>
              <w:rPr>
                <w:rFonts w:ascii="Arial" w:hAnsi="Arial"/>
                <w:b/>
                <w:color w:val="082A58"/>
                <w:sz w:val="60"/>
              </w:rPr>
              <w:t>Safe ward support and security checks</w:t>
            </w:r>
          </w:p>
          <w:p>
            <w:pPr>
              <w:spacing w:after="300"/>
            </w:pPr>
            <w:r>
              <w:rPr>
                <w:rFonts w:ascii="Arial" w:hAnsi="Arial"/>
                <w:b/>
                <w:color w:val="486274"/>
                <w:sz w:val="22"/>
              </w:rPr>
              <w:t>A practical SecureObs guide for healthcare support staff and security staff using observations, enhanced support, security checks, safety escalation and tasks.</w:t>
            </w:r>
          </w:p>
          <w:tbl>
            <w:tblPr>
              <w:tblW w:type="dxa" w:w="5200"/>
              <w:tblLook w:firstColumn="1" w:firstRow="1" w:lastColumn="0" w:lastRow="0" w:noHBand="0" w:noVBand="1" w:val="04A0"/>
            </w:tblPr>
            <w:tblGrid>
              <w:gridCol w:w="5040"/>
            </w:tblGrid>
            <w:tr>
              <w:tc>
                <w:tcPr>
                  <w:tcW w:type="dxa" w:w="5040"/>
                  <w:shd w:fill="E8F8FA"/>
                  <w:tcBorders>
                    <w:top w:val="single" w:sz="6" w:space="0" w:color="BDECF2"/>
                    <w:left w:val="single" w:sz="6" w:space="0" w:color="BDECF2"/>
                    <w:bottom w:val="single" w:sz="6" w:space="0" w:color="BDECF2"/>
                    <w:right w:val="single" w:sz="6" w:space="0" w:color="BDECF2"/>
                  </w:tcBorders>
                  <w:tcMar>
                    <w:top w:w="80" w:type="dxa"/>
                    <w:start w:w="150" w:type="dxa"/>
                    <w:bottom w:w="80" w:type="dxa"/>
                    <w:end w:w="150" w:type="dxa"/>
                  </w:tcMar>
                </w:tcPr>
                <w:p>
                  <w:pPr>
                    <w:spacing w:after="0"/>
                  </w:pPr>
                  <w:r>
                    <w:rPr>
                      <w:rFonts w:ascii="Arial" w:hAnsi="Arial"/>
                      <w:b/>
                      <w:color w:val="082A58"/>
                      <w:sz w:val="19"/>
                    </w:rPr>
                    <w:t>Sign in and confirm ward context</w:t>
                  </w:r>
                </w:p>
              </w:tc>
            </w:tr>
            <w:tr>
              <w:tc>
                <w:tcPr>
                  <w:tcW w:type="dxa" w:w="5040"/>
                  <w:shd w:fill="E8F8FA"/>
                  <w:tcBorders>
                    <w:top w:val="single" w:sz="6" w:space="0" w:color="BDECF2"/>
                    <w:left w:val="single" w:sz="6" w:space="0" w:color="BDECF2"/>
                    <w:bottom w:val="single" w:sz="6" w:space="0" w:color="BDECF2"/>
                    <w:right w:val="single" w:sz="6" w:space="0" w:color="BDECF2"/>
                  </w:tcBorders>
                  <w:tcMar>
                    <w:top w:w="80" w:type="dxa"/>
                    <w:start w:w="150" w:type="dxa"/>
                    <w:bottom w:w="80" w:type="dxa"/>
                    <w:end w:w="150" w:type="dxa"/>
                  </w:tcMar>
                </w:tcPr>
                <w:p>
                  <w:pPr>
                    <w:spacing w:after="0"/>
                  </w:pPr>
                  <w:r>
                    <w:rPr>
                      <w:rFonts w:ascii="Arial" w:hAnsi="Arial"/>
                      <w:b/>
                      <w:color w:val="082A58"/>
                      <w:sz w:val="19"/>
                    </w:rPr>
                    <w:t>Support observations and enhanced observation cover</w:t>
                  </w:r>
                </w:p>
              </w:tc>
            </w:tr>
            <w:tr>
              <w:tc>
                <w:tcPr>
                  <w:tcW w:type="dxa" w:w="5040"/>
                  <w:shd w:fill="E8F8FA"/>
                  <w:tcBorders>
                    <w:top w:val="single" w:sz="6" w:space="0" w:color="BDECF2"/>
                    <w:left w:val="single" w:sz="6" w:space="0" w:color="BDECF2"/>
                    <w:bottom w:val="single" w:sz="6" w:space="0" w:color="BDECF2"/>
                    <w:right w:val="single" w:sz="6" w:space="0" w:color="BDECF2"/>
                  </w:tcBorders>
                  <w:tcMar>
                    <w:top w:w="80" w:type="dxa"/>
                    <w:start w:w="150" w:type="dxa"/>
                    <w:bottom w:w="80" w:type="dxa"/>
                    <w:end w:w="150" w:type="dxa"/>
                  </w:tcMar>
                </w:tcPr>
                <w:p>
                  <w:pPr>
                    <w:spacing w:after="0"/>
                  </w:pPr>
                  <w:r>
                    <w:rPr>
                      <w:rFonts w:ascii="Arial" w:hAnsi="Arial"/>
                      <w:b/>
                      <w:color w:val="082A58"/>
                      <w:sz w:val="19"/>
                    </w:rPr>
                    <w:t>Record security checks and count variances</w:t>
                  </w:r>
                </w:p>
              </w:tc>
            </w:tr>
            <w:tr>
              <w:tc>
                <w:tcPr>
                  <w:tcW w:type="dxa" w:w="5040"/>
                  <w:shd w:fill="E8F8FA"/>
                  <w:tcBorders>
                    <w:top w:val="single" w:sz="6" w:space="0" w:color="BDECF2"/>
                    <w:left w:val="single" w:sz="6" w:space="0" w:color="BDECF2"/>
                    <w:bottom w:val="single" w:sz="6" w:space="0" w:color="BDECF2"/>
                    <w:right w:val="single" w:sz="6" w:space="0" w:color="BDECF2"/>
                  </w:tcBorders>
                  <w:tcMar>
                    <w:top w:w="80" w:type="dxa"/>
                    <w:start w:w="150" w:type="dxa"/>
                    <w:bottom w:w="80" w:type="dxa"/>
                    <w:end w:w="150" w:type="dxa"/>
                  </w:tcMar>
                </w:tcPr>
                <w:p>
                  <w:pPr>
                    <w:spacing w:after="0"/>
                  </w:pPr>
                  <w:r>
                    <w:rPr>
                      <w:rFonts w:ascii="Arial" w:hAnsi="Arial"/>
                      <w:b/>
                      <w:color w:val="082A58"/>
                      <w:sz w:val="19"/>
                    </w:rPr>
                    <w:t>Raise safety incidents and patient tasks</w:t>
                  </w:r>
                </w:p>
              </w:tc>
            </w:tr>
            <w:tr>
              <w:tc>
                <w:tcPr>
                  <w:tcW w:type="dxa" w:w="5040"/>
                  <w:shd w:fill="E8F8FA"/>
                  <w:tcBorders>
                    <w:top w:val="single" w:sz="6" w:space="0" w:color="BDECF2"/>
                    <w:left w:val="single" w:sz="6" w:space="0" w:color="BDECF2"/>
                    <w:bottom w:val="single" w:sz="6" w:space="0" w:color="BDECF2"/>
                    <w:right w:val="single" w:sz="6" w:space="0" w:color="BDECF2"/>
                  </w:tcBorders>
                  <w:tcMar>
                    <w:top w:w="80" w:type="dxa"/>
                    <w:start w:w="150" w:type="dxa"/>
                    <w:bottom w:w="80" w:type="dxa"/>
                    <w:end w:w="150" w:type="dxa"/>
                  </w:tcMar>
                </w:tcPr>
                <w:p>
                  <w:pPr>
                    <w:spacing w:after="0"/>
                  </w:pPr>
                  <w:r>
                    <w:rPr>
                      <w:rFonts w:ascii="Arial" w:hAnsi="Arial"/>
                      <w:b/>
                      <w:color w:val="082A58"/>
                      <w:sz w:val="19"/>
                    </w:rPr>
                    <w:t>Escalate clearly to nurse in charge</w:t>
                  </w:r>
                </w:p>
              </w:tc>
            </w:tr>
          </w:tbl>
          <w:p/>
        </w:tc>
        <w:tc>
          <w:tcPr>
            <w:tcW w:type="dxa" w:w="5040"/>
            <w:tcBorders>
              <w:top w:val="single" w:sz="0" w:space="0" w:color="FFFFFF"/>
              <w:left w:val="single" w:sz="0" w:space="0" w:color="FFFFFF"/>
              <w:bottom w:val="single" w:sz="0" w:space="0" w:color="FFFFFF"/>
              <w:right w:val="single" w:sz="0" w:space="0" w:color="FFFFFF"/>
            </w:tcBorders>
            <w:tcMar>
              <w:top w:w="0" w:type="dxa"/>
              <w:start w:w="0" w:type="dxa"/>
              <w:bottom w:w="0" w:type="dxa"/>
              <w:end w:w="0" w:type="dxa"/>
            </w:tcMar>
          </w:tcPr>
          <w:p>
            <w:pPr>
              <w:jc w:val="center"/>
            </w:pPr>
            <w:r>
              <w:drawing>
                <wp:inline xmlns:a="http://schemas.openxmlformats.org/drawingml/2006/main" xmlns:pic="http://schemas.openxmlformats.org/drawingml/2006/picture">
                  <wp:extent cx="2514600" cy="1571625"/>
                  <wp:docPr id="2" name="Picture 2"/>
                  <wp:cNvGraphicFramePr>
                    <a:graphicFrameLocks noChangeAspect="1"/>
                  </wp:cNvGraphicFramePr>
                  <a:graphic>
                    <a:graphicData uri="http://schemas.openxmlformats.org/drawingml/2006/picture">
                      <pic:pic>
                        <pic:nvPicPr>
                          <pic:cNvPr id="0" name="security_Checks_Screen.jpg"/>
                          <pic:cNvPicPr/>
                        </pic:nvPicPr>
                        <pic:blipFill>
                          <a:blip r:embed="rId12"/>
                          <a:stretch>
                            <a:fillRect/>
                          </a:stretch>
                        </pic:blipFill>
                        <pic:spPr>
                          <a:xfrm>
                            <a:off x="0" y="0"/>
                            <a:ext cx="2514600" cy="1571625"/>
                          </a:xfrm>
                          <a:prstGeom prst="rect"/>
                        </pic:spPr>
                      </pic:pic>
                    </a:graphicData>
                  </a:graphic>
                </wp:inline>
              </w:drawing>
            </w:r>
          </w:p>
        </w:tc>
      </w:tr>
    </w:tbl>
    <w:p>
      <w:pPr>
        <w:spacing w:before="360" w:after="160"/>
        <w:jc w:val="center"/>
      </w:pPr>
      <w:r>
        <w:rPr>
          <w:rFonts w:ascii="Arial" w:hAnsi="Arial"/>
          <w:b/>
          <w:color w:val="486274"/>
          <w:sz w:val="18"/>
        </w:rPr>
        <w:t>Version 1.0 • July 2026 • For HCF, support workers, security staff and ward trainers</w:t>
      </w:r>
    </w:p>
    <w:p>
      <w:r>
        <w:br w:type="page"/>
      </w:r>
    </w:p>
    <w:p>
      <w:pPr>
        <w:pStyle w:val="Heading1"/>
      </w:pPr>
      <w:r>
        <w:t>1. What this route covers</w:t>
      </w:r>
    </w:p>
    <w:tbl>
      <w:tblPr>
        <w:tblW w:type="dxa" w:w="9360"/>
        <w:jc w:val="center"/>
        <w:tblLook w:firstColumn="1" w:firstRow="1" w:lastColumn="0" w:lastRow="0" w:noHBand="0" w:noVBand="1" w:val="04A0"/>
      </w:tblPr>
      <w:tblGrid>
        <w:gridCol w:w="10080"/>
      </w:tblGrid>
      <w:tr>
        <w:tc>
          <w:tcPr>
            <w:tcW w:type="dxa" w:w="10080"/>
            <w:shd w:fill="EAF6FB"/>
            <w:tcBorders>
              <w:top w:val="single" w:sz="6" w:space="0" w:color="C9E5EF"/>
              <w:left w:val="single" w:sz="6" w:space="0" w:color="C9E5EF"/>
              <w:bottom w:val="single" w:sz="6" w:space="0" w:color="C9E5EF"/>
              <w:right w:val="single" w:sz="6" w:space="0" w:color="C9E5EF"/>
            </w:tcBorders>
            <w:tcMar>
              <w:top w:w="150" w:type="dxa"/>
              <w:start w:w="170" w:type="dxa"/>
              <w:bottom w:w="150" w:type="dxa"/>
              <w:end w:w="170" w:type="dxa"/>
            </w:tcMar>
          </w:tcPr>
          <w:p>
            <w:pPr>
              <w:spacing w:after="40"/>
            </w:pPr>
            <w:r>
              <w:rPr>
                <w:rFonts w:ascii="Arial" w:hAnsi="Arial"/>
                <w:b/>
                <w:color w:val="082A58"/>
                <w:sz w:val="21"/>
              </w:rPr>
              <w:t>Role purpose</w:t>
            </w:r>
          </w:p>
          <w:p>
            <w:pPr>
              <w:spacing w:after="0"/>
            </w:pPr>
            <w:r>
              <w:rPr>
                <w:rFonts w:ascii="Arial" w:hAnsi="Arial"/>
                <w:color w:val="264859"/>
                <w:sz w:val="19"/>
              </w:rPr>
              <w:t>This route supports safe ward operations. HCF and security staff may help record observations, security checks, incidents and tasks, but clinical escalation remains with the nurse in charge or responsible clinician.</w:t>
            </w:r>
          </w:p>
        </w:tc>
      </w:tr>
    </w:tbl>
    <w:tbl>
      <w:tblPr>
        <w:tblW w:type="dxa" w:w="9360"/>
        <w:jc w:val="center"/>
        <w:tblLayout w:type="fixed"/>
        <w:tblLook w:firstColumn="1" w:firstRow="1" w:lastColumn="0" w:lastRow="0" w:noHBand="0" w:noVBand="1" w:val="04A0"/>
      </w:tblPr>
      <w:tblGrid>
        <w:gridCol w:w="3240"/>
        <w:gridCol w:w="6048"/>
      </w:tblGrid>
      <w:tr>
        <w:tc>
          <w:tcPr>
            <w:tcW w:type="dxa" w:w="3240"/>
            <w:shd w:fill="0A2F63"/>
            <w:tcBorders>
              <w:top w:val="single" w:sz="6" w:space="0" w:color="0A2F63"/>
              <w:left w:val="single" w:sz="6" w:space="0" w:color="0A2F63"/>
              <w:bottom w:val="single" w:sz="6" w:space="0" w:color="0A2F63"/>
              <w:right w:val="single" w:sz="6" w:space="0" w:color="0A2F63"/>
            </w:tcBorders>
            <w:tcMar>
              <w:top w:w="90" w:type="dxa"/>
              <w:start w:w="120" w:type="dxa"/>
              <w:bottom w:w="90" w:type="dxa"/>
              <w:end w:w="120" w:type="dxa"/>
            </w:tcMar>
          </w:tcPr>
          <w:p>
            <w:pPr>
              <w:spacing w:after="0"/>
            </w:pPr>
            <w:r>
              <w:rPr>
                <w:rFonts w:ascii="Arial" w:hAnsi="Arial"/>
                <w:b/>
                <w:color w:val="FFFFFF"/>
                <w:sz w:val="18"/>
              </w:rPr>
              <w:t>Area</w:t>
            </w:r>
          </w:p>
        </w:tc>
        <w:tc>
          <w:tcPr>
            <w:tcW w:type="dxa" w:w="6048"/>
            <w:shd w:fill="0A2F63"/>
            <w:tcBorders>
              <w:top w:val="single" w:sz="6" w:space="0" w:color="0A2F63"/>
              <w:left w:val="single" w:sz="6" w:space="0" w:color="0A2F63"/>
              <w:bottom w:val="single" w:sz="6" w:space="0" w:color="0A2F63"/>
              <w:right w:val="single" w:sz="6" w:space="0" w:color="0A2F63"/>
            </w:tcBorders>
            <w:tcMar>
              <w:top w:w="90" w:type="dxa"/>
              <w:start w:w="120" w:type="dxa"/>
              <w:bottom w:w="90" w:type="dxa"/>
              <w:end w:w="120" w:type="dxa"/>
            </w:tcMar>
          </w:tcPr>
          <w:p>
            <w:pPr>
              <w:spacing w:after="0"/>
            </w:pPr>
            <w:r>
              <w:rPr>
                <w:rFonts w:ascii="Arial" w:hAnsi="Arial"/>
                <w:b/>
                <w:color w:val="FFFFFF"/>
                <w:sz w:val="18"/>
              </w:rPr>
              <w:t>Guidance</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HCF focus</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Observation support, patient location/presentation updates, enhanced observation support, tasks and escalation.</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Security focus</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Security checks, count variances, searches/checkpoints where configured, safety incidents and escalation.</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Always escalate</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Any immediate risk, uncertainty, safeguarding issue, medication concern or clinical deterioration must be escalated to nursing/clinical staff.</w:t>
            </w:r>
          </w:p>
        </w:tc>
      </w:tr>
    </w:tbl>
    <w:p>
      <w:pPr>
        <w:pStyle w:val="Heading1"/>
      </w:pPr>
      <w:r>
        <w:t>2. Start of shift</w:t>
      </w:r>
    </w:p>
    <w:tbl>
      <w:tblPr>
        <w:tblW w:type="dxa" w:w="9360"/>
        <w:jc w:val="center"/>
        <w:tblLayout w:type="fixed"/>
        <w:tblLook w:firstColumn="1" w:firstRow="1" w:lastColumn="0" w:lastRow="0" w:noHBand="0" w:noVBand="1" w:val="04A0"/>
      </w:tblPr>
      <w:tblGrid>
        <w:gridCol w:w="936"/>
        <w:gridCol w:w="8352"/>
      </w:tblGrid>
      <w:tr>
        <w:tc>
          <w:tcPr>
            <w:tcW w:type="dxa" w:w="936"/>
            <w:shd w:fill="0A6C85"/>
            <w:tcBorders>
              <w:top w:val="single" w:sz="6" w:space="0" w:color="0A6C85"/>
              <w:left w:val="single" w:sz="6" w:space="0" w:color="0A6C85"/>
              <w:bottom w:val="single" w:sz="6" w:space="0" w:color="0A6C85"/>
              <w:right w:val="single" w:sz="6" w:space="0" w:color="0A6C85"/>
            </w:tcBorders>
            <w:tcMar>
              <w:top w:w="140" w:type="dxa"/>
              <w:start w:w="100" w:type="dxa"/>
              <w:bottom w:w="140" w:type="dxa"/>
              <w:end w:w="100" w:type="dxa"/>
            </w:tcMar>
          </w:tcPr>
          <w:p>
            <w:pPr>
              <w:spacing w:after="0"/>
              <w:jc w:val="center"/>
            </w:pPr>
            <w:r>
              <w:rPr>
                <w:rFonts w:ascii="Arial" w:hAnsi="Arial"/>
                <w:b/>
                <w:color w:val="FFFFFF"/>
                <w:sz w:val="28"/>
              </w:rPr>
              <w:t>1</w:t>
            </w:r>
          </w:p>
        </w:tc>
        <w:tc>
          <w:tcPr>
            <w:tcW w:type="dxa" w:w="8352"/>
            <w:shd w:fill="FFFFFF"/>
            <w:tcBorders>
              <w:top w:val="single" w:sz="6" w:space="0" w:color="D6E5EC"/>
              <w:left w:val="single" w:sz="6" w:space="0" w:color="D6E5EC"/>
              <w:bottom w:val="single" w:sz="6" w:space="0" w:color="D6E5EC"/>
              <w:right w:val="single" w:sz="6" w:space="0" w:color="D6E5EC"/>
            </w:tcBorders>
            <w:tcMar>
              <w:top w:w="120" w:type="dxa"/>
              <w:start w:w="150" w:type="dxa"/>
              <w:bottom w:w="120" w:type="dxa"/>
              <w:end w:w="150" w:type="dxa"/>
            </w:tcMar>
          </w:tcPr>
          <w:p>
            <w:pPr>
              <w:spacing w:after="40"/>
            </w:pPr>
            <w:r>
              <w:rPr>
                <w:rFonts w:ascii="Arial" w:hAnsi="Arial"/>
                <w:b/>
                <w:color w:val="082A58"/>
                <w:sz w:val="20"/>
              </w:rPr>
              <w:t>Sign in</w:t>
            </w:r>
          </w:p>
          <w:p>
            <w:pPr>
              <w:spacing w:after="0"/>
            </w:pPr>
            <w:r>
              <w:rPr>
                <w:rFonts w:ascii="Arial" w:hAnsi="Arial"/>
                <w:color w:val="2D4652"/>
                <w:sz w:val="18"/>
              </w:rPr>
              <w:t>Use NFC staff card or STAFFCODE/PIN. If access fails, ask the nurse in charge or manager to check your record.</w:t>
            </w:r>
          </w:p>
        </w:tc>
      </w:tr>
      <w:tr>
        <w:tc>
          <w:tcPr>
            <w:tcW w:type="dxa" w:w="936"/>
            <w:shd w:fill="0A6C85"/>
            <w:tcBorders>
              <w:top w:val="single" w:sz="6" w:space="0" w:color="0A6C85"/>
              <w:left w:val="single" w:sz="6" w:space="0" w:color="0A6C85"/>
              <w:bottom w:val="single" w:sz="6" w:space="0" w:color="0A6C85"/>
              <w:right w:val="single" w:sz="6" w:space="0" w:color="0A6C85"/>
            </w:tcBorders>
            <w:tcMar>
              <w:top w:w="140" w:type="dxa"/>
              <w:start w:w="100" w:type="dxa"/>
              <w:bottom w:w="140" w:type="dxa"/>
              <w:end w:w="100" w:type="dxa"/>
            </w:tcMar>
          </w:tcPr>
          <w:p>
            <w:pPr>
              <w:spacing w:after="0"/>
              <w:jc w:val="center"/>
            </w:pPr>
            <w:r>
              <w:rPr>
                <w:rFonts w:ascii="Arial" w:hAnsi="Arial"/>
                <w:b/>
                <w:color w:val="FFFFFF"/>
                <w:sz w:val="28"/>
              </w:rPr>
              <w:t>2</w:t>
            </w:r>
          </w:p>
        </w:tc>
        <w:tc>
          <w:tcPr>
            <w:tcW w:type="dxa" w:w="8352"/>
            <w:shd w:fill="FFFFFF"/>
            <w:tcBorders>
              <w:top w:val="single" w:sz="6" w:space="0" w:color="D6E5EC"/>
              <w:left w:val="single" w:sz="6" w:space="0" w:color="D6E5EC"/>
              <w:bottom w:val="single" w:sz="6" w:space="0" w:color="D6E5EC"/>
              <w:right w:val="single" w:sz="6" w:space="0" w:color="D6E5EC"/>
            </w:tcBorders>
            <w:tcMar>
              <w:top w:w="120" w:type="dxa"/>
              <w:start w:w="150" w:type="dxa"/>
              <w:bottom w:w="120" w:type="dxa"/>
              <w:end w:w="150" w:type="dxa"/>
            </w:tcMar>
          </w:tcPr>
          <w:p>
            <w:pPr>
              <w:spacing w:after="40"/>
            </w:pPr>
            <w:r>
              <w:rPr>
                <w:rFonts w:ascii="Arial" w:hAnsi="Arial"/>
                <w:b/>
                <w:color w:val="082A58"/>
                <w:sz w:val="20"/>
              </w:rPr>
              <w:t>Confirm context</w:t>
            </w:r>
          </w:p>
          <w:p>
            <w:pPr>
              <w:spacing w:after="0"/>
            </w:pPr>
            <w:r>
              <w:rPr>
                <w:rFonts w:ascii="Arial" w:hAnsi="Arial"/>
                <w:color w:val="2D4652"/>
                <w:sz w:val="18"/>
              </w:rPr>
              <w:t>Check the selected site, ward and staff name before recording anything.</w:t>
            </w:r>
          </w:p>
        </w:tc>
      </w:tr>
      <w:tr>
        <w:tc>
          <w:tcPr>
            <w:tcW w:type="dxa" w:w="936"/>
            <w:shd w:fill="0A6C85"/>
            <w:tcBorders>
              <w:top w:val="single" w:sz="6" w:space="0" w:color="0A6C85"/>
              <w:left w:val="single" w:sz="6" w:space="0" w:color="0A6C85"/>
              <w:bottom w:val="single" w:sz="6" w:space="0" w:color="0A6C85"/>
              <w:right w:val="single" w:sz="6" w:space="0" w:color="0A6C85"/>
            </w:tcBorders>
            <w:tcMar>
              <w:top w:w="140" w:type="dxa"/>
              <w:start w:w="100" w:type="dxa"/>
              <w:bottom w:w="140" w:type="dxa"/>
              <w:end w:w="100" w:type="dxa"/>
            </w:tcMar>
          </w:tcPr>
          <w:p>
            <w:pPr>
              <w:spacing w:after="0"/>
              <w:jc w:val="center"/>
            </w:pPr>
            <w:r>
              <w:rPr>
                <w:rFonts w:ascii="Arial" w:hAnsi="Arial"/>
                <w:b/>
                <w:color w:val="FFFFFF"/>
                <w:sz w:val="28"/>
              </w:rPr>
              <w:t>3</w:t>
            </w:r>
          </w:p>
        </w:tc>
        <w:tc>
          <w:tcPr>
            <w:tcW w:type="dxa" w:w="8352"/>
            <w:shd w:fill="FFFFFF"/>
            <w:tcBorders>
              <w:top w:val="single" w:sz="6" w:space="0" w:color="D6E5EC"/>
              <w:left w:val="single" w:sz="6" w:space="0" w:color="D6E5EC"/>
              <w:bottom w:val="single" w:sz="6" w:space="0" w:color="D6E5EC"/>
              <w:right w:val="single" w:sz="6" w:space="0" w:color="D6E5EC"/>
            </w:tcBorders>
            <w:tcMar>
              <w:top w:w="120" w:type="dxa"/>
              <w:start w:w="150" w:type="dxa"/>
              <w:bottom w:w="120" w:type="dxa"/>
              <w:end w:w="150" w:type="dxa"/>
            </w:tcMar>
          </w:tcPr>
          <w:p>
            <w:pPr>
              <w:spacing w:after="40"/>
            </w:pPr>
            <w:r>
              <w:rPr>
                <w:rFonts w:ascii="Arial" w:hAnsi="Arial"/>
                <w:b/>
                <w:color w:val="082A58"/>
                <w:sz w:val="20"/>
              </w:rPr>
              <w:t>Review ward overview</w:t>
            </w:r>
          </w:p>
          <w:p>
            <w:pPr>
              <w:spacing w:after="0"/>
            </w:pPr>
            <w:r>
              <w:rPr>
                <w:rFonts w:ascii="Arial" w:hAnsi="Arial"/>
                <w:color w:val="2D4652"/>
                <w:sz w:val="18"/>
              </w:rPr>
              <w:t>Look for overdue checks, active incidents, patient tasks and sync issues.</w:t>
            </w:r>
          </w:p>
        </w:tc>
      </w:tr>
      <w:tr>
        <w:tc>
          <w:tcPr>
            <w:tcW w:type="dxa" w:w="936"/>
            <w:shd w:fill="0A6C85"/>
            <w:tcBorders>
              <w:top w:val="single" w:sz="6" w:space="0" w:color="0A6C85"/>
              <w:left w:val="single" w:sz="6" w:space="0" w:color="0A6C85"/>
              <w:bottom w:val="single" w:sz="6" w:space="0" w:color="0A6C85"/>
              <w:right w:val="single" w:sz="6" w:space="0" w:color="0A6C85"/>
            </w:tcBorders>
            <w:tcMar>
              <w:top w:w="140" w:type="dxa"/>
              <w:start w:w="100" w:type="dxa"/>
              <w:bottom w:w="140" w:type="dxa"/>
              <w:end w:w="100" w:type="dxa"/>
            </w:tcMar>
          </w:tcPr>
          <w:p>
            <w:pPr>
              <w:spacing w:after="0"/>
              <w:jc w:val="center"/>
            </w:pPr>
            <w:r>
              <w:rPr>
                <w:rFonts w:ascii="Arial" w:hAnsi="Arial"/>
                <w:b/>
                <w:color w:val="FFFFFF"/>
                <w:sz w:val="28"/>
              </w:rPr>
              <w:t>4</w:t>
            </w:r>
          </w:p>
        </w:tc>
        <w:tc>
          <w:tcPr>
            <w:tcW w:type="dxa" w:w="8352"/>
            <w:shd w:fill="FFFFFF"/>
            <w:tcBorders>
              <w:top w:val="single" w:sz="6" w:space="0" w:color="D6E5EC"/>
              <w:left w:val="single" w:sz="6" w:space="0" w:color="D6E5EC"/>
              <w:bottom w:val="single" w:sz="6" w:space="0" w:color="D6E5EC"/>
              <w:right w:val="single" w:sz="6" w:space="0" w:color="D6E5EC"/>
            </w:tcBorders>
            <w:tcMar>
              <w:top w:w="120" w:type="dxa"/>
              <w:start w:w="150" w:type="dxa"/>
              <w:bottom w:w="120" w:type="dxa"/>
              <w:end w:w="150" w:type="dxa"/>
            </w:tcMar>
          </w:tcPr>
          <w:p>
            <w:pPr>
              <w:spacing w:after="40"/>
            </w:pPr>
            <w:r>
              <w:rPr>
                <w:rFonts w:ascii="Arial" w:hAnsi="Arial"/>
                <w:b/>
                <w:color w:val="082A58"/>
                <w:sz w:val="20"/>
              </w:rPr>
              <w:t>Know your allocation</w:t>
            </w:r>
          </w:p>
          <w:p>
            <w:pPr>
              <w:spacing w:after="0"/>
            </w:pPr>
            <w:r>
              <w:rPr>
                <w:rFonts w:ascii="Arial" w:hAnsi="Arial"/>
                <w:color w:val="2D4652"/>
                <w:sz w:val="18"/>
              </w:rPr>
              <w:t>Confirm which patients, observation levels, security checks or tasks you are responsible for.</w:t>
            </w:r>
          </w:p>
        </w:tc>
      </w:tr>
      <w:tr>
        <w:tc>
          <w:tcPr>
            <w:tcW w:type="dxa" w:w="936"/>
            <w:shd w:fill="0A6C85"/>
            <w:tcBorders>
              <w:top w:val="single" w:sz="6" w:space="0" w:color="0A6C85"/>
              <w:left w:val="single" w:sz="6" w:space="0" w:color="0A6C85"/>
              <w:bottom w:val="single" w:sz="6" w:space="0" w:color="0A6C85"/>
              <w:right w:val="single" w:sz="6" w:space="0" w:color="0A6C85"/>
            </w:tcBorders>
            <w:tcMar>
              <w:top w:w="140" w:type="dxa"/>
              <w:start w:w="100" w:type="dxa"/>
              <w:bottom w:w="140" w:type="dxa"/>
              <w:end w:w="100" w:type="dxa"/>
            </w:tcMar>
          </w:tcPr>
          <w:p>
            <w:pPr>
              <w:spacing w:after="0"/>
              <w:jc w:val="center"/>
            </w:pPr>
            <w:r>
              <w:rPr>
                <w:rFonts w:ascii="Arial" w:hAnsi="Arial"/>
                <w:b/>
                <w:color w:val="FFFFFF"/>
                <w:sz w:val="28"/>
              </w:rPr>
              <w:t>5</w:t>
            </w:r>
          </w:p>
        </w:tc>
        <w:tc>
          <w:tcPr>
            <w:tcW w:type="dxa" w:w="8352"/>
            <w:shd w:fill="FFFFFF"/>
            <w:tcBorders>
              <w:top w:val="single" w:sz="6" w:space="0" w:color="D6E5EC"/>
              <w:left w:val="single" w:sz="6" w:space="0" w:color="D6E5EC"/>
              <w:bottom w:val="single" w:sz="6" w:space="0" w:color="D6E5EC"/>
              <w:right w:val="single" w:sz="6" w:space="0" w:color="D6E5EC"/>
            </w:tcBorders>
            <w:tcMar>
              <w:top w:w="120" w:type="dxa"/>
              <w:start w:w="150" w:type="dxa"/>
              <w:bottom w:w="120" w:type="dxa"/>
              <w:end w:w="150" w:type="dxa"/>
            </w:tcMar>
          </w:tcPr>
          <w:p>
            <w:pPr>
              <w:spacing w:after="40"/>
            </w:pPr>
            <w:r>
              <w:rPr>
                <w:rFonts w:ascii="Arial" w:hAnsi="Arial"/>
                <w:b/>
                <w:color w:val="082A58"/>
                <w:sz w:val="20"/>
              </w:rPr>
              <w:t>Escalate uncertainty</w:t>
            </w:r>
          </w:p>
          <w:p>
            <w:pPr>
              <w:spacing w:after="0"/>
            </w:pPr>
            <w:r>
              <w:rPr>
                <w:rFonts w:ascii="Arial" w:hAnsi="Arial"/>
                <w:color w:val="2D4652"/>
                <w:sz w:val="18"/>
              </w:rPr>
              <w:t>If you are unsure whether you should record something, speak to the nurse in charge first.</w:t>
            </w:r>
          </w:p>
        </w:tc>
      </w:tr>
    </w:tbl>
    <w:p>
      <w:pPr>
        <w:pStyle w:val="Heading1"/>
      </w:pPr>
      <w:r>
        <w:t>3. Observation support</w:t>
      </w:r>
    </w:p>
    <w:tbl>
      <w:tblPr>
        <w:tblW w:type="dxa" w:w="9360"/>
        <w:jc w:val="center"/>
        <w:tblLayout w:type="fixed"/>
        <w:tblLook w:firstColumn="1" w:firstRow="1" w:lastColumn="0" w:lastRow="0" w:noHBand="0" w:noVBand="1" w:val="04A0"/>
      </w:tblPr>
      <w:tblGrid>
        <w:gridCol w:w="3240"/>
        <w:gridCol w:w="6048"/>
      </w:tblGrid>
      <w:tr>
        <w:tc>
          <w:tcPr>
            <w:tcW w:type="dxa" w:w="3240"/>
            <w:shd w:fill="0A2F63"/>
            <w:tcBorders>
              <w:top w:val="single" w:sz="6" w:space="0" w:color="0A2F63"/>
              <w:left w:val="single" w:sz="6" w:space="0" w:color="0A2F63"/>
              <w:bottom w:val="single" w:sz="6" w:space="0" w:color="0A2F63"/>
              <w:right w:val="single" w:sz="6" w:space="0" w:color="0A2F63"/>
            </w:tcBorders>
            <w:tcMar>
              <w:top w:w="90" w:type="dxa"/>
              <w:start w:w="120" w:type="dxa"/>
              <w:bottom w:w="90" w:type="dxa"/>
              <w:end w:w="120" w:type="dxa"/>
            </w:tcMar>
          </w:tcPr>
          <w:p>
            <w:pPr>
              <w:spacing w:after="0"/>
            </w:pPr>
            <w:r>
              <w:rPr>
                <w:rFonts w:ascii="Arial" w:hAnsi="Arial"/>
                <w:b/>
                <w:color w:val="FFFFFF"/>
                <w:sz w:val="18"/>
              </w:rPr>
              <w:t>Action</w:t>
            </w:r>
          </w:p>
        </w:tc>
        <w:tc>
          <w:tcPr>
            <w:tcW w:type="dxa" w:w="6048"/>
            <w:shd w:fill="0A2F63"/>
            <w:tcBorders>
              <w:top w:val="single" w:sz="6" w:space="0" w:color="0A2F63"/>
              <w:left w:val="single" w:sz="6" w:space="0" w:color="0A2F63"/>
              <w:bottom w:val="single" w:sz="6" w:space="0" w:color="0A2F63"/>
              <w:right w:val="single" w:sz="6" w:space="0" w:color="0A2F63"/>
            </w:tcBorders>
            <w:tcMar>
              <w:top w:w="90" w:type="dxa"/>
              <w:start w:w="120" w:type="dxa"/>
              <w:bottom w:w="90" w:type="dxa"/>
              <w:end w:w="120" w:type="dxa"/>
            </w:tcMar>
          </w:tcPr>
          <w:p>
            <w:pPr>
              <w:spacing w:after="0"/>
            </w:pPr>
            <w:r>
              <w:rPr>
                <w:rFonts w:ascii="Arial" w:hAnsi="Arial"/>
                <w:b/>
                <w:color w:val="FFFFFF"/>
                <w:sz w:val="18"/>
              </w:rPr>
              <w:t>Support staff guidance</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Patient identity</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Check name, room and hospital number before saving any record.</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Location</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Record where the patient is actually seen: side room, day room, corridor, dining room, bathroom, laundry, off ward or LOA.</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Presentation</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Record awake or asleep accurately.</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Notes</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Keep notes brief and factual. Escalate clinical concerns instead of writing long clinical interpretation.</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Enhanced observations</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If assigned, record location/presentation and follow the plan of care and observation level exactly.</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Missed/overdue checks</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Record the real reason and inform the nurse in charge if checks are repeatedly late or unsafe.</w:t>
            </w:r>
          </w:p>
        </w:tc>
      </w:tr>
    </w:tbl>
    <w:p>
      <w:pPr>
        <w:keepNext/>
        <w:jc w:val="center"/>
      </w:pPr>
      <w:r>
        <w:drawing>
          <wp:inline xmlns:a="http://schemas.openxmlformats.org/drawingml/2006/main" xmlns:pic="http://schemas.openxmlformats.org/drawingml/2006/picture">
            <wp:extent cx="4343400" cy="4698563"/>
            <wp:docPr id="3" name="Picture 3"/>
            <wp:cNvGraphicFramePr>
              <a:graphicFrameLocks noChangeAspect="1"/>
            </wp:cNvGraphicFramePr>
            <a:graphic>
              <a:graphicData uri="http://schemas.openxmlformats.org/drawingml/2006/picture">
                <pic:pic>
                  <pic:nvPicPr>
                    <pic:cNvPr id="0" name="general_Obs_Screen-2.jpg"/>
                    <pic:cNvPicPr/>
                  </pic:nvPicPr>
                  <pic:blipFill>
                    <a:blip r:embed="rId13"/>
                    <a:stretch>
                      <a:fillRect/>
                    </a:stretch>
                  </pic:blipFill>
                  <pic:spPr>
                    <a:xfrm>
                      <a:off x="0" y="0"/>
                      <a:ext cx="4343400" cy="4698563"/>
                    </a:xfrm>
                    <a:prstGeom prst="rect"/>
                  </pic:spPr>
                </pic:pic>
              </a:graphicData>
            </a:graphic>
          </wp:inline>
        </w:drawing>
      </w:r>
    </w:p>
    <w:p>
      <w:pPr>
        <w:spacing w:after="160"/>
        <w:jc w:val="center"/>
      </w:pPr>
      <w:r>
        <w:rPr>
          <w:rFonts w:ascii="Arial" w:hAnsi="Arial"/>
          <w:i/>
          <w:color w:val="486274"/>
          <w:sz w:val="17"/>
        </w:rPr>
        <w:t>General observations: select the correct patient, location and presentation.</w:t>
      </w:r>
    </w:p>
    <w:p>
      <w:pPr>
        <w:pStyle w:val="Heading1"/>
      </w:pPr>
      <w:r>
        <w:t>4. Security checks</w:t>
      </w:r>
    </w:p>
    <w:tbl>
      <w:tblPr>
        <w:tblW w:type="dxa" w:w="9360"/>
        <w:jc w:val="center"/>
        <w:tblLayout w:type="fixed"/>
        <w:tblLook w:firstColumn="1" w:firstRow="1" w:lastColumn="0" w:lastRow="0" w:noHBand="0" w:noVBand="1" w:val="04A0"/>
      </w:tblPr>
      <w:tblGrid>
        <w:gridCol w:w="936"/>
        <w:gridCol w:w="8352"/>
      </w:tblGrid>
      <w:tr>
        <w:tc>
          <w:tcPr>
            <w:tcW w:type="dxa" w:w="936"/>
            <w:shd w:fill="0A6C85"/>
            <w:tcBorders>
              <w:top w:val="single" w:sz="6" w:space="0" w:color="0A6C85"/>
              <w:left w:val="single" w:sz="6" w:space="0" w:color="0A6C85"/>
              <w:bottom w:val="single" w:sz="6" w:space="0" w:color="0A6C85"/>
              <w:right w:val="single" w:sz="6" w:space="0" w:color="0A6C85"/>
            </w:tcBorders>
            <w:tcMar>
              <w:top w:w="140" w:type="dxa"/>
              <w:start w:w="100" w:type="dxa"/>
              <w:bottom w:w="140" w:type="dxa"/>
              <w:end w:w="100" w:type="dxa"/>
            </w:tcMar>
          </w:tcPr>
          <w:p>
            <w:pPr>
              <w:spacing w:after="0"/>
              <w:jc w:val="center"/>
            </w:pPr>
            <w:r>
              <w:rPr>
                <w:rFonts w:ascii="Arial" w:hAnsi="Arial"/>
                <w:b/>
                <w:color w:val="FFFFFF"/>
                <w:sz w:val="28"/>
              </w:rPr>
              <w:t>1</w:t>
            </w:r>
          </w:p>
        </w:tc>
        <w:tc>
          <w:tcPr>
            <w:tcW w:type="dxa" w:w="8352"/>
            <w:shd w:fill="FFFFFF"/>
            <w:tcBorders>
              <w:top w:val="single" w:sz="6" w:space="0" w:color="D6E5EC"/>
              <w:left w:val="single" w:sz="6" w:space="0" w:color="D6E5EC"/>
              <w:bottom w:val="single" w:sz="6" w:space="0" w:color="D6E5EC"/>
              <w:right w:val="single" w:sz="6" w:space="0" w:color="D6E5EC"/>
            </w:tcBorders>
            <w:tcMar>
              <w:top w:w="120" w:type="dxa"/>
              <w:start w:w="150" w:type="dxa"/>
              <w:bottom w:w="120" w:type="dxa"/>
              <w:end w:w="150" w:type="dxa"/>
            </w:tcMar>
          </w:tcPr>
          <w:p>
            <w:pPr>
              <w:spacing w:after="40"/>
            </w:pPr>
            <w:r>
              <w:rPr>
                <w:rFonts w:ascii="Arial" w:hAnsi="Arial"/>
                <w:b/>
                <w:color w:val="082A58"/>
                <w:sz w:val="20"/>
              </w:rPr>
              <w:t>Open Security checks</w:t>
            </w:r>
          </w:p>
          <w:p>
            <w:pPr>
              <w:spacing w:after="0"/>
            </w:pPr>
            <w:r>
              <w:rPr>
                <w:rFonts w:ascii="Arial" w:hAnsi="Arial"/>
                <w:color w:val="2D4652"/>
                <w:sz w:val="18"/>
              </w:rPr>
              <w:t>Use the security checks screen when the ward has this module enabled and you are assigned to complete checks.</w:t>
            </w:r>
          </w:p>
        </w:tc>
      </w:tr>
      <w:tr>
        <w:tc>
          <w:tcPr>
            <w:tcW w:type="dxa" w:w="936"/>
            <w:shd w:fill="0A6C85"/>
            <w:tcBorders>
              <w:top w:val="single" w:sz="6" w:space="0" w:color="0A6C85"/>
              <w:left w:val="single" w:sz="6" w:space="0" w:color="0A6C85"/>
              <w:bottom w:val="single" w:sz="6" w:space="0" w:color="0A6C85"/>
              <w:right w:val="single" w:sz="6" w:space="0" w:color="0A6C85"/>
            </w:tcBorders>
            <w:tcMar>
              <w:top w:w="140" w:type="dxa"/>
              <w:start w:w="100" w:type="dxa"/>
              <w:bottom w:w="140" w:type="dxa"/>
              <w:end w:w="100" w:type="dxa"/>
            </w:tcMar>
          </w:tcPr>
          <w:p>
            <w:pPr>
              <w:spacing w:after="0"/>
              <w:jc w:val="center"/>
            </w:pPr>
            <w:r>
              <w:rPr>
                <w:rFonts w:ascii="Arial" w:hAnsi="Arial"/>
                <w:b/>
                <w:color w:val="FFFFFF"/>
                <w:sz w:val="28"/>
              </w:rPr>
              <w:t>2</w:t>
            </w:r>
          </w:p>
        </w:tc>
        <w:tc>
          <w:tcPr>
            <w:tcW w:type="dxa" w:w="8352"/>
            <w:shd w:fill="FFFFFF"/>
            <w:tcBorders>
              <w:top w:val="single" w:sz="6" w:space="0" w:color="D6E5EC"/>
              <w:left w:val="single" w:sz="6" w:space="0" w:color="D6E5EC"/>
              <w:bottom w:val="single" w:sz="6" w:space="0" w:color="D6E5EC"/>
              <w:right w:val="single" w:sz="6" w:space="0" w:color="D6E5EC"/>
            </w:tcBorders>
            <w:tcMar>
              <w:top w:w="120" w:type="dxa"/>
              <w:start w:w="150" w:type="dxa"/>
              <w:bottom w:w="120" w:type="dxa"/>
              <w:end w:w="150" w:type="dxa"/>
            </w:tcMar>
          </w:tcPr>
          <w:p>
            <w:pPr>
              <w:spacing w:after="40"/>
            </w:pPr>
            <w:r>
              <w:rPr>
                <w:rFonts w:ascii="Arial" w:hAnsi="Arial"/>
                <w:b/>
                <w:color w:val="082A58"/>
                <w:sz w:val="20"/>
              </w:rPr>
              <w:t>Choose checkpoint</w:t>
            </w:r>
          </w:p>
          <w:p>
            <w:pPr>
              <w:spacing w:after="0"/>
            </w:pPr>
            <w:r>
              <w:rPr>
                <w:rFonts w:ascii="Arial" w:hAnsi="Arial"/>
                <w:color w:val="2D4652"/>
                <w:sz w:val="18"/>
              </w:rPr>
              <w:t>Select the correct area or patient-specific check from the checkpoint list.</w:t>
            </w:r>
          </w:p>
        </w:tc>
      </w:tr>
      <w:tr>
        <w:tc>
          <w:tcPr>
            <w:tcW w:type="dxa" w:w="936"/>
            <w:shd w:fill="0A6C85"/>
            <w:tcBorders>
              <w:top w:val="single" w:sz="6" w:space="0" w:color="0A6C85"/>
              <w:left w:val="single" w:sz="6" w:space="0" w:color="0A6C85"/>
              <w:bottom w:val="single" w:sz="6" w:space="0" w:color="0A6C85"/>
              <w:right w:val="single" w:sz="6" w:space="0" w:color="0A6C85"/>
            </w:tcBorders>
            <w:tcMar>
              <w:top w:w="140" w:type="dxa"/>
              <w:start w:w="100" w:type="dxa"/>
              <w:bottom w:w="140" w:type="dxa"/>
              <w:end w:w="100" w:type="dxa"/>
            </w:tcMar>
          </w:tcPr>
          <w:p>
            <w:pPr>
              <w:spacing w:after="0"/>
              <w:jc w:val="center"/>
            </w:pPr>
            <w:r>
              <w:rPr>
                <w:rFonts w:ascii="Arial" w:hAnsi="Arial"/>
                <w:b/>
                <w:color w:val="FFFFFF"/>
                <w:sz w:val="28"/>
              </w:rPr>
              <w:t>3</w:t>
            </w:r>
          </w:p>
        </w:tc>
        <w:tc>
          <w:tcPr>
            <w:tcW w:type="dxa" w:w="8352"/>
            <w:shd w:fill="FFFFFF"/>
            <w:tcBorders>
              <w:top w:val="single" w:sz="6" w:space="0" w:color="D6E5EC"/>
              <w:left w:val="single" w:sz="6" w:space="0" w:color="D6E5EC"/>
              <w:bottom w:val="single" w:sz="6" w:space="0" w:color="D6E5EC"/>
              <w:right w:val="single" w:sz="6" w:space="0" w:color="D6E5EC"/>
            </w:tcBorders>
            <w:tcMar>
              <w:top w:w="120" w:type="dxa"/>
              <w:start w:w="150" w:type="dxa"/>
              <w:bottom w:w="120" w:type="dxa"/>
              <w:end w:w="150" w:type="dxa"/>
            </w:tcMar>
          </w:tcPr>
          <w:p>
            <w:pPr>
              <w:spacing w:after="40"/>
            </w:pPr>
            <w:r>
              <w:rPr>
                <w:rFonts w:ascii="Arial" w:hAnsi="Arial"/>
                <w:b/>
                <w:color w:val="082A58"/>
                <w:sz w:val="20"/>
              </w:rPr>
              <w:t>Enter counts accurately</w:t>
            </w:r>
          </w:p>
          <w:p>
            <w:pPr>
              <w:spacing w:after="0"/>
            </w:pPr>
            <w:r>
              <w:rPr>
                <w:rFonts w:ascii="Arial" w:hAnsi="Arial"/>
                <w:color w:val="2D4652"/>
                <w:sz w:val="18"/>
              </w:rPr>
              <w:t>For cutlery or item-based checks, enter actual counts for every required item.</w:t>
            </w:r>
          </w:p>
        </w:tc>
      </w:tr>
      <w:tr>
        <w:tc>
          <w:tcPr>
            <w:tcW w:type="dxa" w:w="936"/>
            <w:shd w:fill="0A6C85"/>
            <w:tcBorders>
              <w:top w:val="single" w:sz="6" w:space="0" w:color="0A6C85"/>
              <w:left w:val="single" w:sz="6" w:space="0" w:color="0A6C85"/>
              <w:bottom w:val="single" w:sz="6" w:space="0" w:color="0A6C85"/>
              <w:right w:val="single" w:sz="6" w:space="0" w:color="0A6C85"/>
            </w:tcBorders>
            <w:tcMar>
              <w:top w:w="140" w:type="dxa"/>
              <w:start w:w="100" w:type="dxa"/>
              <w:bottom w:w="140" w:type="dxa"/>
              <w:end w:w="100" w:type="dxa"/>
            </w:tcMar>
          </w:tcPr>
          <w:p>
            <w:pPr>
              <w:spacing w:after="0"/>
              <w:jc w:val="center"/>
            </w:pPr>
            <w:r>
              <w:rPr>
                <w:rFonts w:ascii="Arial" w:hAnsi="Arial"/>
                <w:b/>
                <w:color w:val="FFFFFF"/>
                <w:sz w:val="28"/>
              </w:rPr>
              <w:t>4</w:t>
            </w:r>
          </w:p>
        </w:tc>
        <w:tc>
          <w:tcPr>
            <w:tcW w:type="dxa" w:w="8352"/>
            <w:shd w:fill="FFFFFF"/>
            <w:tcBorders>
              <w:top w:val="single" w:sz="6" w:space="0" w:color="D6E5EC"/>
              <w:left w:val="single" w:sz="6" w:space="0" w:color="D6E5EC"/>
              <w:bottom w:val="single" w:sz="6" w:space="0" w:color="D6E5EC"/>
              <w:right w:val="single" w:sz="6" w:space="0" w:color="D6E5EC"/>
            </w:tcBorders>
            <w:tcMar>
              <w:top w:w="120" w:type="dxa"/>
              <w:start w:w="150" w:type="dxa"/>
              <w:bottom w:w="120" w:type="dxa"/>
              <w:end w:w="150" w:type="dxa"/>
            </w:tcMar>
          </w:tcPr>
          <w:p>
            <w:pPr>
              <w:spacing w:after="40"/>
            </w:pPr>
            <w:r>
              <w:rPr>
                <w:rFonts w:ascii="Arial" w:hAnsi="Arial"/>
                <w:b/>
                <w:color w:val="082A58"/>
                <w:sz w:val="20"/>
              </w:rPr>
              <w:t>Record variances</w:t>
            </w:r>
          </w:p>
          <w:p>
            <w:pPr>
              <w:spacing w:after="0"/>
            </w:pPr>
            <w:r>
              <w:rPr>
                <w:rFonts w:ascii="Arial" w:hAnsi="Arial"/>
                <w:color w:val="2D4652"/>
                <w:sz w:val="18"/>
              </w:rPr>
              <w:t>If counts do not match expected values, save the variance and escalate according to local process.</w:t>
            </w:r>
          </w:p>
        </w:tc>
      </w:tr>
      <w:tr>
        <w:tc>
          <w:tcPr>
            <w:tcW w:type="dxa" w:w="936"/>
            <w:shd w:fill="0A6C85"/>
            <w:tcBorders>
              <w:top w:val="single" w:sz="6" w:space="0" w:color="0A6C85"/>
              <w:left w:val="single" w:sz="6" w:space="0" w:color="0A6C85"/>
              <w:bottom w:val="single" w:sz="6" w:space="0" w:color="0A6C85"/>
              <w:right w:val="single" w:sz="6" w:space="0" w:color="0A6C85"/>
            </w:tcBorders>
            <w:tcMar>
              <w:top w:w="140" w:type="dxa"/>
              <w:start w:w="100" w:type="dxa"/>
              <w:bottom w:w="140" w:type="dxa"/>
              <w:end w:w="100" w:type="dxa"/>
            </w:tcMar>
          </w:tcPr>
          <w:p>
            <w:pPr>
              <w:spacing w:after="0"/>
              <w:jc w:val="center"/>
            </w:pPr>
            <w:r>
              <w:rPr>
                <w:rFonts w:ascii="Arial" w:hAnsi="Arial"/>
                <w:b/>
                <w:color w:val="FFFFFF"/>
                <w:sz w:val="28"/>
              </w:rPr>
              <w:t>5</w:t>
            </w:r>
          </w:p>
        </w:tc>
        <w:tc>
          <w:tcPr>
            <w:tcW w:type="dxa" w:w="8352"/>
            <w:shd w:fill="FFFFFF"/>
            <w:tcBorders>
              <w:top w:val="single" w:sz="6" w:space="0" w:color="D6E5EC"/>
              <w:left w:val="single" w:sz="6" w:space="0" w:color="D6E5EC"/>
              <w:bottom w:val="single" w:sz="6" w:space="0" w:color="D6E5EC"/>
              <w:right w:val="single" w:sz="6" w:space="0" w:color="D6E5EC"/>
            </w:tcBorders>
            <w:tcMar>
              <w:top w:w="120" w:type="dxa"/>
              <w:start w:w="150" w:type="dxa"/>
              <w:bottom w:w="120" w:type="dxa"/>
              <w:end w:w="150" w:type="dxa"/>
            </w:tcMar>
          </w:tcPr>
          <w:p>
            <w:pPr>
              <w:spacing w:after="40"/>
            </w:pPr>
            <w:r>
              <w:rPr>
                <w:rFonts w:ascii="Arial" w:hAnsi="Arial"/>
                <w:b/>
                <w:color w:val="082A58"/>
                <w:sz w:val="20"/>
              </w:rPr>
              <w:t>Use history</w:t>
            </w:r>
          </w:p>
          <w:p>
            <w:pPr>
              <w:spacing w:after="0"/>
            </w:pPr>
            <w:r>
              <w:rPr>
                <w:rFonts w:ascii="Arial" w:hAnsi="Arial"/>
                <w:color w:val="2D4652"/>
                <w:sz w:val="18"/>
              </w:rPr>
              <w:t>Review history to check what has already been recorded for the day or shift.</w:t>
            </w:r>
          </w:p>
        </w:tc>
      </w:tr>
      <w:tr>
        <w:tc>
          <w:tcPr>
            <w:tcW w:type="dxa" w:w="936"/>
            <w:shd w:fill="0A6C85"/>
            <w:tcBorders>
              <w:top w:val="single" w:sz="6" w:space="0" w:color="0A6C85"/>
              <w:left w:val="single" w:sz="6" w:space="0" w:color="0A6C85"/>
              <w:bottom w:val="single" w:sz="6" w:space="0" w:color="0A6C85"/>
              <w:right w:val="single" w:sz="6" w:space="0" w:color="0A6C85"/>
            </w:tcBorders>
            <w:tcMar>
              <w:top w:w="140" w:type="dxa"/>
              <w:start w:w="100" w:type="dxa"/>
              <w:bottom w:w="140" w:type="dxa"/>
              <w:end w:w="100" w:type="dxa"/>
            </w:tcMar>
          </w:tcPr>
          <w:p>
            <w:pPr>
              <w:spacing w:after="0"/>
              <w:jc w:val="center"/>
            </w:pPr>
            <w:r>
              <w:rPr>
                <w:rFonts w:ascii="Arial" w:hAnsi="Arial"/>
                <w:b/>
                <w:color w:val="FFFFFF"/>
                <w:sz w:val="28"/>
              </w:rPr>
              <w:t>6</w:t>
            </w:r>
          </w:p>
        </w:tc>
        <w:tc>
          <w:tcPr>
            <w:tcW w:type="dxa" w:w="8352"/>
            <w:shd w:fill="FFFFFF"/>
            <w:tcBorders>
              <w:top w:val="single" w:sz="6" w:space="0" w:color="D6E5EC"/>
              <w:left w:val="single" w:sz="6" w:space="0" w:color="D6E5EC"/>
              <w:bottom w:val="single" w:sz="6" w:space="0" w:color="D6E5EC"/>
              <w:right w:val="single" w:sz="6" w:space="0" w:color="D6E5EC"/>
            </w:tcBorders>
            <w:tcMar>
              <w:top w:w="120" w:type="dxa"/>
              <w:start w:w="150" w:type="dxa"/>
              <w:bottom w:w="120" w:type="dxa"/>
              <w:end w:w="150" w:type="dxa"/>
            </w:tcMar>
          </w:tcPr>
          <w:p>
            <w:pPr>
              <w:spacing w:after="40"/>
            </w:pPr>
            <w:r>
              <w:rPr>
                <w:rFonts w:ascii="Arial" w:hAnsi="Arial"/>
                <w:b/>
                <w:color w:val="082A58"/>
                <w:sz w:val="20"/>
              </w:rPr>
              <w:t>Never hide uncertainty</w:t>
            </w:r>
          </w:p>
          <w:p>
            <w:pPr>
              <w:spacing w:after="0"/>
            </w:pPr>
            <w:r>
              <w:rPr>
                <w:rFonts w:ascii="Arial" w:hAnsi="Arial"/>
                <w:color w:val="2D4652"/>
                <w:sz w:val="18"/>
              </w:rPr>
              <w:t>If a count is unclear, record the facts and escalate rather than guessing.</w:t>
            </w:r>
          </w:p>
        </w:tc>
      </w:tr>
    </w:tbl>
    <w:tbl>
      <w:tblPr>
        <w:tblW w:type="dxa" w:w="9360"/>
        <w:jc w:val="center"/>
        <w:tblLook w:firstColumn="1" w:firstRow="1" w:lastColumn="0" w:lastRow="0" w:noHBand="0" w:noVBand="1" w:val="04A0"/>
      </w:tblPr>
      <w:tblGrid>
        <w:gridCol w:w="10080"/>
      </w:tblGrid>
      <w:tr>
        <w:tc>
          <w:tcPr>
            <w:tcW w:type="dxa" w:w="10080"/>
            <w:shd w:fill="FFF4D6"/>
            <w:tcBorders>
              <w:top w:val="single" w:sz="6" w:space="0" w:color="C9E5EF"/>
              <w:left w:val="single" w:sz="6" w:space="0" w:color="C9E5EF"/>
              <w:bottom w:val="single" w:sz="6" w:space="0" w:color="C9E5EF"/>
              <w:right w:val="single" w:sz="6" w:space="0" w:color="C9E5EF"/>
            </w:tcBorders>
            <w:tcMar>
              <w:top w:w="150" w:type="dxa"/>
              <w:start w:w="170" w:type="dxa"/>
              <w:bottom w:w="150" w:type="dxa"/>
              <w:end w:w="170" w:type="dxa"/>
            </w:tcMar>
          </w:tcPr>
          <w:p>
            <w:pPr>
              <w:spacing w:after="40"/>
            </w:pPr>
            <w:r>
              <w:rPr>
                <w:rFonts w:ascii="Arial" w:hAnsi="Arial"/>
                <w:b/>
                <w:color w:val="082A58"/>
                <w:sz w:val="21"/>
              </w:rPr>
              <w:t>Count variance rule</w:t>
            </w:r>
          </w:p>
          <w:p>
            <w:pPr>
              <w:spacing w:after="0"/>
            </w:pPr>
            <w:r>
              <w:rPr>
                <w:rFonts w:ascii="Arial" w:hAnsi="Arial"/>
                <w:color w:val="264859"/>
                <w:sz w:val="19"/>
              </w:rPr>
              <w:t>A count variance should be treated as a safety issue. Record what was counted, preserve the audit trail and tell the nurse in charge or security lead.</w:t>
            </w:r>
          </w:p>
        </w:tc>
      </w:tr>
    </w:tbl>
    <w:p>
      <w:pPr>
        <w:keepNext/>
        <w:jc w:val="center"/>
      </w:pPr>
      <w:r>
        <w:drawing>
          <wp:inline xmlns:a="http://schemas.openxmlformats.org/drawingml/2006/main" xmlns:pic="http://schemas.openxmlformats.org/drawingml/2006/picture">
            <wp:extent cx="4297680" cy="4315587"/>
            <wp:docPr id="4" name="Picture 4"/>
            <wp:cNvGraphicFramePr>
              <a:graphicFrameLocks noChangeAspect="1"/>
            </wp:cNvGraphicFramePr>
            <a:graphic>
              <a:graphicData uri="http://schemas.openxmlformats.org/drawingml/2006/picture">
                <pic:pic>
                  <pic:nvPicPr>
                    <pic:cNvPr id="0" name="Security_Checks.jpg"/>
                    <pic:cNvPicPr/>
                  </pic:nvPicPr>
                  <pic:blipFill>
                    <a:blip r:embed="rId14"/>
                    <a:stretch>
                      <a:fillRect/>
                    </a:stretch>
                  </pic:blipFill>
                  <pic:spPr>
                    <a:xfrm>
                      <a:off x="0" y="0"/>
                      <a:ext cx="4297680" cy="4315587"/>
                    </a:xfrm>
                    <a:prstGeom prst="rect"/>
                  </pic:spPr>
                </pic:pic>
              </a:graphicData>
            </a:graphic>
          </wp:inline>
        </w:drawing>
      </w:r>
    </w:p>
    <w:p>
      <w:pPr>
        <w:spacing w:after="160"/>
        <w:jc w:val="center"/>
      </w:pPr>
      <w:r>
        <w:rPr>
          <w:rFonts w:ascii="Arial" w:hAnsi="Arial"/>
          <w:i/>
          <w:color w:val="486274"/>
          <w:sz w:val="17"/>
        </w:rPr>
        <w:t>Security checks: checkpoint status, recording and history.</w:t>
      </w:r>
    </w:p>
    <w:p>
      <w:pPr>
        <w:pStyle w:val="Heading1"/>
      </w:pPr>
      <w:r>
        <w:t>5. Safety incidents and patient tasks</w:t>
      </w:r>
    </w:p>
    <w:tbl>
      <w:tblPr>
        <w:tblW w:type="dxa" w:w="9360"/>
        <w:jc w:val="center"/>
        <w:tblLayout w:type="fixed"/>
        <w:tblLook w:firstColumn="1" w:firstRow="1" w:lastColumn="0" w:lastRow="0" w:noHBand="0" w:noVBand="1" w:val="04A0"/>
      </w:tblPr>
      <w:tblGrid>
        <w:gridCol w:w="3240"/>
        <w:gridCol w:w="6048"/>
      </w:tblGrid>
      <w:tr>
        <w:tc>
          <w:tcPr>
            <w:tcW w:type="dxa" w:w="3240"/>
            <w:shd w:fill="0A2F63"/>
            <w:tcBorders>
              <w:top w:val="single" w:sz="6" w:space="0" w:color="0A2F63"/>
              <w:left w:val="single" w:sz="6" w:space="0" w:color="0A2F63"/>
              <w:bottom w:val="single" w:sz="6" w:space="0" w:color="0A2F63"/>
              <w:right w:val="single" w:sz="6" w:space="0" w:color="0A2F63"/>
            </w:tcBorders>
            <w:tcMar>
              <w:top w:w="90" w:type="dxa"/>
              <w:start w:w="120" w:type="dxa"/>
              <w:bottom w:w="90" w:type="dxa"/>
              <w:end w:w="120" w:type="dxa"/>
            </w:tcMar>
          </w:tcPr>
          <w:p>
            <w:pPr>
              <w:spacing w:after="0"/>
            </w:pPr>
            <w:r>
              <w:rPr>
                <w:rFonts w:ascii="Arial" w:hAnsi="Arial"/>
                <w:b/>
                <w:color w:val="FFFFFF"/>
                <w:sz w:val="18"/>
              </w:rPr>
              <w:t>Area</w:t>
            </w:r>
          </w:p>
        </w:tc>
        <w:tc>
          <w:tcPr>
            <w:tcW w:type="dxa" w:w="6048"/>
            <w:shd w:fill="0A2F63"/>
            <w:tcBorders>
              <w:top w:val="single" w:sz="6" w:space="0" w:color="0A2F63"/>
              <w:left w:val="single" w:sz="6" w:space="0" w:color="0A2F63"/>
              <w:bottom w:val="single" w:sz="6" w:space="0" w:color="0A2F63"/>
              <w:right w:val="single" w:sz="6" w:space="0" w:color="0A2F63"/>
            </w:tcBorders>
            <w:tcMar>
              <w:top w:w="90" w:type="dxa"/>
              <w:start w:w="120" w:type="dxa"/>
              <w:bottom w:w="90" w:type="dxa"/>
              <w:end w:w="120" w:type="dxa"/>
            </w:tcMar>
          </w:tcPr>
          <w:p>
            <w:pPr>
              <w:spacing w:after="0"/>
            </w:pPr>
            <w:r>
              <w:rPr>
                <w:rFonts w:ascii="Arial" w:hAnsi="Arial"/>
                <w:b/>
                <w:color w:val="FFFFFF"/>
                <w:sz w:val="18"/>
              </w:rPr>
              <w:t>How to record</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Safety incident</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Use for injury, fall, violence/aggression, self-harm, safeguarding, security or other significant concern.</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Severity</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Use RAG rating honestly: red for immediate/serious risk, amber for review, green for monitor.</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Body map</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Select affected areas for injury or physical concern where relevant.</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Immediate action</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Record first aid, area made safe, staff informed, nurse called or other immediate action.</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Patient account</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Record the patient’s own words where possible, or why this could not be obtained.</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Patient task</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Use tasks for follow-up actions, but urgent risks must still be escalated verbally.</w:t>
            </w:r>
          </w:p>
        </w:tc>
      </w:tr>
    </w:tbl>
    <w:p>
      <w:pPr>
        <w:pStyle w:val="Heading1"/>
      </w:pPr>
      <w:r>
        <w:t>6. What not to do</w:t>
      </w:r>
    </w:p>
    <w:p>
      <w:pPr>
        <w:pStyle w:val="ListBullet"/>
        <w:spacing w:after="60"/>
      </w:pPr>
      <w:r>
        <w:rPr>
          <w:rFonts w:ascii="Arial" w:hAnsi="Arial"/>
          <w:color w:val="1E3744"/>
          <w:sz w:val="19"/>
        </w:rPr>
        <w:t>Do not use another staff member’s login.</w:t>
      </w:r>
    </w:p>
    <w:p>
      <w:pPr>
        <w:pStyle w:val="ListBullet"/>
        <w:spacing w:after="60"/>
      </w:pPr>
      <w:r>
        <w:rPr>
          <w:rFonts w:ascii="Arial" w:hAnsi="Arial"/>
          <w:color w:val="1E3744"/>
          <w:sz w:val="19"/>
        </w:rPr>
        <w:t>Do not record an observation if you did not complete or witness it.</w:t>
      </w:r>
    </w:p>
    <w:p>
      <w:pPr>
        <w:pStyle w:val="ListBullet"/>
        <w:spacing w:after="60"/>
      </w:pPr>
      <w:r>
        <w:rPr>
          <w:rFonts w:ascii="Arial" w:hAnsi="Arial"/>
          <w:color w:val="1E3744"/>
          <w:sz w:val="19"/>
        </w:rPr>
        <w:t>Do not guess counts, locations or patient presentation.</w:t>
      </w:r>
    </w:p>
    <w:p>
      <w:pPr>
        <w:pStyle w:val="ListBullet"/>
        <w:spacing w:after="60"/>
      </w:pPr>
      <w:r>
        <w:rPr>
          <w:rFonts w:ascii="Arial" w:hAnsi="Arial"/>
          <w:color w:val="1E3744"/>
          <w:sz w:val="19"/>
        </w:rPr>
        <w:t>Do not resolve incidents or tasks unless you are authorised and the action has genuinely been completed.</w:t>
      </w:r>
    </w:p>
    <w:p>
      <w:pPr>
        <w:pStyle w:val="ListBullet"/>
        <w:spacing w:after="60"/>
      </w:pPr>
      <w:r>
        <w:rPr>
          <w:rFonts w:ascii="Arial" w:hAnsi="Arial"/>
          <w:color w:val="1E3744"/>
          <w:sz w:val="19"/>
        </w:rPr>
        <w:t>Do not use SecureObs as a replacement for emergency escalation, safeguarding policy or nurse-in-charge review.</w:t>
      </w:r>
    </w:p>
    <w:p>
      <w:pPr>
        <w:pStyle w:val="Heading1"/>
      </w:pPr>
      <w:r>
        <w:t>7. End of shift and handover awareness</w:t>
      </w:r>
    </w:p>
    <w:tbl>
      <w:tblPr>
        <w:tblW w:type="dxa" w:w="9360"/>
        <w:jc w:val="center"/>
        <w:tblLayout w:type="fixed"/>
        <w:tblLook w:firstColumn="1" w:firstRow="1" w:lastColumn="0" w:lastRow="0" w:noHBand="0" w:noVBand="1" w:val="04A0"/>
      </w:tblPr>
      <w:tblGrid>
        <w:gridCol w:w="3240"/>
        <w:gridCol w:w="6048"/>
      </w:tblGrid>
      <w:tr>
        <w:tc>
          <w:tcPr>
            <w:tcW w:type="dxa" w:w="3240"/>
            <w:shd w:fill="0A2F63"/>
            <w:tcBorders>
              <w:top w:val="single" w:sz="6" w:space="0" w:color="0A2F63"/>
              <w:left w:val="single" w:sz="6" w:space="0" w:color="0A2F63"/>
              <w:bottom w:val="single" w:sz="6" w:space="0" w:color="0A2F63"/>
              <w:right w:val="single" w:sz="6" w:space="0" w:color="0A2F63"/>
            </w:tcBorders>
            <w:tcMar>
              <w:top w:w="90" w:type="dxa"/>
              <w:start w:w="120" w:type="dxa"/>
              <w:bottom w:w="90" w:type="dxa"/>
              <w:end w:w="120" w:type="dxa"/>
            </w:tcMar>
          </w:tcPr>
          <w:p>
            <w:pPr>
              <w:spacing w:after="0"/>
            </w:pPr>
            <w:r>
              <w:rPr>
                <w:rFonts w:ascii="Arial" w:hAnsi="Arial"/>
                <w:b/>
                <w:color w:val="FFFFFF"/>
                <w:sz w:val="18"/>
              </w:rPr>
              <w:t>End-of-shift item</w:t>
            </w:r>
          </w:p>
        </w:tc>
        <w:tc>
          <w:tcPr>
            <w:tcW w:type="dxa" w:w="6048"/>
            <w:shd w:fill="0A2F63"/>
            <w:tcBorders>
              <w:top w:val="single" w:sz="6" w:space="0" w:color="0A2F63"/>
              <w:left w:val="single" w:sz="6" w:space="0" w:color="0A2F63"/>
              <w:bottom w:val="single" w:sz="6" w:space="0" w:color="0A2F63"/>
              <w:right w:val="single" w:sz="6" w:space="0" w:color="0A2F63"/>
            </w:tcBorders>
            <w:tcMar>
              <w:top w:w="90" w:type="dxa"/>
              <w:start w:w="120" w:type="dxa"/>
              <w:bottom w:w="90" w:type="dxa"/>
              <w:end w:w="120" w:type="dxa"/>
            </w:tcMar>
          </w:tcPr>
          <w:p>
            <w:pPr>
              <w:spacing w:after="0"/>
            </w:pPr>
            <w:r>
              <w:rPr>
                <w:rFonts w:ascii="Arial" w:hAnsi="Arial"/>
                <w:b/>
                <w:color w:val="FFFFFF"/>
                <w:sz w:val="18"/>
              </w:rPr>
              <w:t>Expected action</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Before leaving</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Check that assigned observations, security checks and tasks are completed or handed over.</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Sync badge</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If pending items remain, tell the nurse in charge and follow local sync process.</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Handover notes</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Give factual verbal handover for anything that needs immediate awareness.</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Active incidents</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Do not leave active safety concerns without clear ownership.</w:t>
            </w:r>
          </w:p>
        </w:tc>
      </w:tr>
    </w:tbl>
    <w:p>
      <w:pPr>
        <w:pStyle w:val="Heading1"/>
      </w:pPr>
      <w:r>
        <w:t>8. Troubleshooting</w:t>
      </w:r>
    </w:p>
    <w:tbl>
      <w:tblPr>
        <w:tblW w:type="dxa" w:w="9360"/>
        <w:jc w:val="center"/>
        <w:tblLayout w:type="fixed"/>
        <w:tblLook w:firstColumn="1" w:firstRow="1" w:lastColumn="0" w:lastRow="0" w:noHBand="0" w:noVBand="1" w:val="04A0"/>
      </w:tblPr>
      <w:tblGrid>
        <w:gridCol w:w="3240"/>
        <w:gridCol w:w="6048"/>
      </w:tblGrid>
      <w:tr>
        <w:tc>
          <w:tcPr>
            <w:tcW w:type="dxa" w:w="3240"/>
            <w:shd w:fill="0A2F63"/>
            <w:tcBorders>
              <w:top w:val="single" w:sz="6" w:space="0" w:color="0A2F63"/>
              <w:left w:val="single" w:sz="6" w:space="0" w:color="0A2F63"/>
              <w:bottom w:val="single" w:sz="6" w:space="0" w:color="0A2F63"/>
              <w:right w:val="single" w:sz="6" w:space="0" w:color="0A2F63"/>
            </w:tcBorders>
            <w:tcMar>
              <w:top w:w="90" w:type="dxa"/>
              <w:start w:w="120" w:type="dxa"/>
              <w:bottom w:w="90" w:type="dxa"/>
              <w:end w:w="120" w:type="dxa"/>
            </w:tcMar>
          </w:tcPr>
          <w:p>
            <w:pPr>
              <w:spacing w:after="0"/>
            </w:pPr>
            <w:r>
              <w:rPr>
                <w:rFonts w:ascii="Arial" w:hAnsi="Arial"/>
                <w:b/>
                <w:color w:val="FFFFFF"/>
                <w:sz w:val="18"/>
              </w:rPr>
              <w:t>Issue</w:t>
            </w:r>
          </w:p>
        </w:tc>
        <w:tc>
          <w:tcPr>
            <w:tcW w:type="dxa" w:w="6048"/>
            <w:shd w:fill="0A2F63"/>
            <w:tcBorders>
              <w:top w:val="single" w:sz="6" w:space="0" w:color="0A2F63"/>
              <w:left w:val="single" w:sz="6" w:space="0" w:color="0A2F63"/>
              <w:bottom w:val="single" w:sz="6" w:space="0" w:color="0A2F63"/>
              <w:right w:val="single" w:sz="6" w:space="0" w:color="0A2F63"/>
            </w:tcBorders>
            <w:tcMar>
              <w:top w:w="90" w:type="dxa"/>
              <w:start w:w="120" w:type="dxa"/>
              <w:bottom w:w="90" w:type="dxa"/>
              <w:end w:w="120" w:type="dxa"/>
            </w:tcMar>
          </w:tcPr>
          <w:p>
            <w:pPr>
              <w:spacing w:after="0"/>
            </w:pPr>
            <w:r>
              <w:rPr>
                <w:rFonts w:ascii="Arial" w:hAnsi="Arial"/>
                <w:b/>
                <w:color w:val="FFFFFF"/>
                <w:sz w:val="18"/>
              </w:rPr>
              <w:t>What to do</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Cannot sign in</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Check STAFFCODE/PIN or NFC tag. Ask nurse in charge/manager to confirm active status and ward access.</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Security area missing</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The ward may not have the check configured or enabled. Escalate to manager/security lead.</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Patient missing</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Confirm selected ward and ask nursing staff to check patient setup.</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Sync issue appears</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Open sync status if trained to do so, otherwise tell nurse in charge before leaving the tablet.</w:t>
            </w:r>
          </w:p>
        </w:tc>
      </w:tr>
      <w:tr>
        <w:tc>
          <w:tcPr>
            <w:tcW w:type="dxa" w:w="3240"/>
            <w:shd w:fill="F3F8FA"/>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color w:val="082A58"/>
                <w:sz w:val="18"/>
              </w:rPr>
              <w:t>Unsure if clinical</w:t>
            </w:r>
          </w:p>
        </w:tc>
        <w:tc>
          <w:tcPr>
            <w:tcW w:type="dxa" w:w="6048"/>
            <w:shd w:fill="FFFFFF"/>
            <w:tcBorders>
              <w:top w:val="single" w:sz="6" w:space="0" w:color="D6E5EC"/>
              <w:left w:val="single" w:sz="6" w:space="0" w:color="D6E5EC"/>
              <w:bottom w:val="single" w:sz="6" w:space="0" w:color="D6E5EC"/>
              <w:right w:val="single" w:sz="6" w:space="0" w:color="D6E5EC"/>
            </w:tcBorders>
            <w:tcMar>
              <w:top w:w="90" w:type="dxa"/>
              <w:start w:w="120" w:type="dxa"/>
              <w:bottom w:w="90" w:type="dxa"/>
              <w:end w:w="120" w:type="dxa"/>
            </w:tcMar>
            <w:vAlign w:val="center"/>
          </w:tcPr>
          <w:p>
            <w:pPr>
              <w:spacing w:after="0"/>
            </w:pPr>
            <w:r>
              <w:rPr>
                <w:rFonts w:ascii="Arial" w:hAnsi="Arial"/>
                <w:b w:val="0"/>
                <w:color w:val="1F3642"/>
                <w:sz w:val="18"/>
              </w:rPr>
              <w:t>Stop and escalate. Do not record clinical interpretation beyond your role.</w:t>
            </w:r>
          </w:p>
        </w:tc>
      </w:tr>
    </w:tbl>
    <w:sectPr w:rsidR="00FC693F" w:rsidRPr="0006063C" w:rsidSect="00034616">
      <w:headerReference w:type="default" r:id="rId9"/>
      <w:footerReference w:type="default" r:id="rId10"/>
      <w:pgSz w:w="12240" w:h="15840"/>
      <w:pgMar w:top="1181" w:right="1080" w:bottom="1037" w:left="108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86274"/>
        <w:sz w:val="16"/>
      </w:rPr>
      <w:t>SecureObs • HCF, security checks and ward support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b/>
        <w:color w:val="486274"/>
        <w:sz w:val="17"/>
      </w:rPr>
      <w:t>SecureObs HCF and Security Staff Training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12242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rial" w:hAnsi="Arial"/>
      <w:b/>
      <w:bCs/>
      <w:color w:val="082A58"/>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045DB9"/>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082A5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