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616"/>
        <w:gridCol w:w="4176"/>
      </w:tblGrid>
      <w:tr>
        <w:tc>
          <w:tcPr>
            <w:tcW w:type="dxa" w:w="5040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0"/>
            </w:pPr>
            <w:r>
              <w:drawing>
                <wp:inline xmlns:a="http://schemas.openxmlformats.org/drawingml/2006/main" xmlns:pic="http://schemas.openxmlformats.org/drawingml/2006/picture">
                  <wp:extent cx="960120" cy="96012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ecureobs-logo-new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601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00"/>
            </w:pPr>
            <w:r>
              <w:rPr>
                <w:rFonts w:ascii="Arial" w:hAnsi="Arial"/>
                <w:b/>
                <w:color w:val="08A7B5"/>
                <w:sz w:val="20"/>
              </w:rPr>
              <w:t>DOCTOR AND PRESCRIBER GUIDE</w:t>
            </w:r>
          </w:p>
          <w:p>
            <w:pPr>
              <w:spacing w:after="200" w:line="228" w:lineRule="auto"/>
            </w:pPr>
            <w:r>
              <w:rPr>
                <w:rFonts w:ascii="Arial" w:hAnsi="Arial"/>
                <w:b/>
                <w:color w:val="082A58"/>
                <w:sz w:val="56"/>
              </w:rPr>
              <w:t>Clinical review, prescribing and care-plan oversight</w:t>
            </w:r>
          </w:p>
          <w:p>
            <w:pPr>
              <w:spacing w:after="300"/>
            </w:pPr>
            <w:r>
              <w:rPr>
                <w:rFonts w:ascii="Arial" w:hAnsi="Arial"/>
                <w:b/>
                <w:color w:val="486274"/>
                <w:sz w:val="22"/>
              </w:rPr>
              <w:t>A focused SecureObs guide for doctors and authorised prescribers reviewing patients, prescribing medication, checking clinical evidence and contributing to care plans.</w:t>
            </w:r>
          </w:p>
          <w:tbl>
            <w:tblPr>
              <w:tblW w:type="dxa" w:w="5200"/>
              <w:tblLook w:firstColumn="1" w:firstRow="1" w:lastColumn="0" w:lastRow="0" w:noHBand="0" w:noVBand="1" w:val="04A0"/>
            </w:tblPr>
            <w:tblGrid>
              <w:gridCol w:w="5040"/>
            </w:tblGrid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Sign in and select ward/patient</w:t>
                  </w:r>
                </w:p>
              </w:tc>
            </w:tr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Review patient dashboard, NEWS2 and history</w:t>
                  </w:r>
                </w:p>
              </w:tc>
            </w:tr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Prescribe regular, PRN, depot or rapid medication</w:t>
                  </w:r>
                </w:p>
              </w:tc>
            </w:tr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Record allergies, ADRs and stopped medication</w:t>
                  </w:r>
                </w:p>
              </w:tc>
            </w:tr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Review notes, care plans and safety incidents</w:t>
                  </w:r>
                </w:p>
              </w:tc>
            </w:tr>
          </w:tbl>
          <w:p/>
        </w:tc>
        <w:tc>
          <w:tcPr>
            <w:tcW w:type="dxa" w:w="5040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14600" cy="6984563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eds_Prescribe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69845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360" w:after="160"/>
        <w:jc w:val="center"/>
      </w:pPr>
      <w:r>
        <w:rPr>
          <w:rFonts w:ascii="Arial" w:hAnsi="Arial"/>
          <w:b/>
          <w:color w:val="486274"/>
          <w:sz w:val="18"/>
        </w:rPr>
        <w:t>Version 1.0 • July 2026 • For doctors, prescribers and clinical reviewers</w:t>
      </w:r>
    </w:p>
    <w:p>
      <w:r>
        <w:br w:type="page"/>
      </w:r>
    </w:p>
    <w:p>
      <w:pPr>
        <w:pStyle w:val="Heading1"/>
      </w:pPr>
      <w:r>
        <w:t>1. What this doctor route covers</w:t>
      </w:r>
    </w:p>
    <w:tbl>
      <w:tblPr>
        <w:tblW w:type="dxa" w:w="936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6FB"/>
            <w:tcBorders>
              <w:top w:val="single" w:sz="6" w:space="0" w:color="C9E5EF"/>
              <w:left w:val="single" w:sz="6" w:space="0" w:color="C9E5EF"/>
              <w:bottom w:val="single" w:sz="6" w:space="0" w:color="C9E5EF"/>
              <w:right w:val="single" w:sz="6" w:space="0" w:color="C9E5EF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1"/>
              </w:rPr>
              <w:t>Doctor route purpose</w:t>
            </w:r>
          </w:p>
          <w:p>
            <w:pPr>
              <w:spacing w:after="0"/>
            </w:pPr>
            <w:r>
              <w:rPr>
                <w:rFonts w:ascii="Arial" w:hAnsi="Arial"/>
                <w:color w:val="264859"/>
                <w:sz w:val="19"/>
              </w:rPr>
              <w:t>The doctor route is for reviewing clinical evidence, adding medical context, prescribing or stopping medication where authorised, and contributing to care-plan and safety review.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6048"/>
      </w:tblGrid>
      <w:tr>
        <w:tc>
          <w:tcPr>
            <w:tcW w:type="dxa" w:w="3240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048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Guidance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Who should use this guide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Doctors, authorised prescribers and clinical reviewers using SecureObs.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Prescribing access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Doctor role can prescribe when the staff record allows prescribing. Do not prescribe under another user’s session.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Clinical responsibility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SecureObs supports clinical review but does not replace professional judgement, medicines policy or urgent escalation.</w:t>
            </w:r>
          </w:p>
        </w:tc>
      </w:tr>
    </w:tbl>
    <w:p>
      <w:pPr>
        <w:pStyle w:val="Heading1"/>
      </w:pPr>
      <w:r>
        <w:t>2. Sign in and review patient context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352"/>
      </w:tblGrid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1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Sign in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Use NFC staff card or STAFFCODE/PIN and confirm the correct site and ward.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2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Select patient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Choose the patient and confirm room and hospital number before reviewing or prescribing.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3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Review dashboard/timeline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Look at latest observation location, presentation, NEWS2, food/fluid, incidents, tasks and progress trends.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4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Read notes and care plans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Review recent notes and active care-plan goals before adding decisions or changing medication.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5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Check safety information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Review active safety incidents or escalation items relevant to medical review.</w:t>
            </w:r>
          </w:p>
        </w:tc>
      </w:tr>
    </w:tbl>
    <w:p>
      <w:r>
        <w:br w:type="page"/>
      </w:r>
    </w:p>
    <w:p>
      <w:pPr>
        <w:pStyle w:val="Heading1"/>
      </w:pPr>
      <w:r>
        <w:t>3. Medication chart and prescribing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6048"/>
      </w:tblGrid>
      <w:tr>
        <w:tc>
          <w:tcPr>
            <w:tcW w:type="dxa" w:w="3240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Medication item</w:t>
            </w:r>
          </w:p>
        </w:tc>
        <w:tc>
          <w:tcPr>
            <w:tcW w:type="dxa" w:w="6048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Doctor / prescriber guidance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Allergies / ADRs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Review and update allergies and adverse drug reactions before prescribing.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Drug approved name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Enter the medicine name clearly using local policy and approved naming conventions.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Dose and route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Record dose and route such as Oral, IM, Depot, S/L or Topical.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Prescription type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Choose Regular, PRN, Depot or Rapid tranquillisation as appropriate.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Administration times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Select scheduled times for regular medication. PRN/rapid items do not use routine scheduled times.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Additional instructions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Add pharmacist advice, monitoring instructions or safe administration context where needed.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Confirmation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Confirm the prescription or administration action before it becomes part of the record.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Stopped medication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Enter stop date/time and reason when discontinuing medication.</w:t>
            </w:r>
          </w:p>
        </w:tc>
      </w:tr>
    </w:tbl>
    <w:tbl>
      <w:tblPr>
        <w:tblW w:type="dxa" w:w="936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4D6"/>
            <w:tcBorders>
              <w:top w:val="single" w:sz="6" w:space="0" w:color="C9E5EF"/>
              <w:left w:val="single" w:sz="6" w:space="0" w:color="C9E5EF"/>
              <w:bottom w:val="single" w:sz="6" w:space="0" w:color="C9E5EF"/>
              <w:right w:val="single" w:sz="6" w:space="0" w:color="C9E5EF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1"/>
              </w:rPr>
              <w:t>Prescribing safety</w:t>
            </w:r>
          </w:p>
          <w:p>
            <w:pPr>
              <w:spacing w:after="0"/>
            </w:pPr>
            <w:r>
              <w:rPr>
                <w:rFonts w:ascii="Arial" w:hAnsi="Arial"/>
                <w:color w:val="264859"/>
                <w:sz w:val="19"/>
              </w:rPr>
              <w:t>Always confirm the selected patient before prescribing. Check allergies/ADRs, active prescriptions, recent administrations and any relevant clinical risk before saving.</w:t>
            </w:r>
          </w:p>
        </w:tc>
      </w:tr>
    </w:tbl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4343400" cy="1073860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dication_Prescribing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07386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i/>
          <w:color w:val="486274"/>
          <w:sz w:val="17"/>
        </w:rPr>
        <w:t>Medication chart: prescribing, allergies/ADRs and administration grid.</w:t>
      </w:r>
    </w:p>
    <w:p>
      <w:pPr>
        <w:pStyle w:val="Heading1"/>
      </w:pPr>
      <w:r>
        <w:t>4. Reviewing medication administration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Review given, refused, omitted and unavailable doses in the chart.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Check omission codes and notes when a dose was not given.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Review PRN or rapid tranquillisation records in the context of behaviour, incidents and care plan.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Use medication history to understand recent administration before changing a prescription.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Escalate any discrepancy to the nurse in charge or medication nurse.</w:t>
      </w:r>
    </w:p>
    <w:p>
      <w:pPr>
        <w:pStyle w:val="Heading1"/>
      </w:pPr>
      <w:r>
        <w:t>5. Care-plan and clinical record review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6048"/>
      </w:tblGrid>
      <w:tr>
        <w:tc>
          <w:tcPr>
            <w:tcW w:type="dxa" w:w="3240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Record area</w:t>
            </w:r>
          </w:p>
        </w:tc>
        <w:tc>
          <w:tcPr>
            <w:tcW w:type="dxa" w:w="6048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Doctor review focus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Patient notes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Read recent notes before adding a medical review note. Keep entries factual, attributable and clinically relevant.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Care plans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Review identified needs, risks, goals, interventions and patient preferences. Add or request updates where the plan no longer matches clinical need.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Review date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Check whether the care plan review date is due or clinically indicated sooner.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Patient voice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Consider what matters to the patient, patient preferences and any shared-care/family contribution that has been reviewed by staff.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Safety incidents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Review relevant incidents, body map details, immediate action and resolution notes.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NEWS2 / physical health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Use NEWS2 and observation history to support clinical assessment and escalation decisions.</w:t>
            </w:r>
          </w:p>
        </w:tc>
      </w:tr>
    </w:tbl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4343400" cy="926365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tient_Care_Plans_Full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92636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i/>
          <w:color w:val="486274"/>
          <w:sz w:val="17"/>
        </w:rPr>
        <w:t>Care plans: structured needs, risks, goals, interventions and review date.</w:t>
      </w:r>
    </w:p>
    <w:p>
      <w:pPr>
        <w:pStyle w:val="Heading1"/>
      </w:pPr>
      <w:r>
        <w:t>6. Shift handover and team communication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6048"/>
      </w:tblGrid>
      <w:tr>
        <w:tc>
          <w:tcPr>
            <w:tcW w:type="dxa" w:w="3240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Area</w:t>
            </w:r>
          </w:p>
        </w:tc>
        <w:tc>
          <w:tcPr>
            <w:tcW w:type="dxa" w:w="6048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Expected action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Handover awareness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Review patient summaries where medical context affects the incoming shift.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Medical action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Make clear what needs nursing follow-up, observation, physical health review or medication monitoring.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Tasks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Create or review patient tasks where follow-up needs ownership.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Escalation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Verbally escalate urgent decisions. Do not rely solely on a written note for immediate risk.</w:t>
            </w:r>
          </w:p>
        </w:tc>
      </w:tr>
    </w:tbl>
    <w:p>
      <w:pPr>
        <w:pStyle w:val="Heading1"/>
      </w:pPr>
      <w:r>
        <w:t>7. What not to do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Do not prescribe or discontinue medication under another staff member’s login.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Do not prescribe without checking allergies/ADRs and active medication records.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Do not use SecureObs as a substitute for urgent clinical escalation.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Do not document vague decisions such as “review later” without ownership or timeframe.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Do not approve family/shared-care information unless it is appropriate and patient-consented according to policy.</w:t>
      </w:r>
    </w:p>
    <w:p>
      <w:pPr>
        <w:pStyle w:val="Heading1"/>
      </w:pPr>
      <w:r>
        <w:t>8. Troubleshooting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6048"/>
      </w:tblGrid>
      <w:tr>
        <w:tc>
          <w:tcPr>
            <w:tcW w:type="dxa" w:w="3240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Issue</w:t>
            </w:r>
          </w:p>
        </w:tc>
        <w:tc>
          <w:tcPr>
            <w:tcW w:type="dxa" w:w="6048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What to do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Cannot prescribe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Check doctor role, Can prescribe permission and medication chart module status.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Patient not visible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Confirm ward selection and ask manager/admin to review patient setup.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Medication action not saving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Check sync status and retry; alert nurse in charge if time-critical.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Wrong patient selected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Stop before saving. Return to the patient list and confirm identity.</w:t>
            </w:r>
          </w:p>
        </w:tc>
      </w:tr>
      <w:tr>
        <w:tc>
          <w:tcPr>
            <w:tcW w:type="dxa" w:w="3240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Care-plan review unclear</w:t>
            </w:r>
          </w:p>
        </w:tc>
        <w:tc>
          <w:tcPr>
            <w:tcW w:type="dxa" w:w="6048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Check recent notes, patient voice, incidents and handover before documenting review outcome.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81" w:right="1080" w:bottom="1037" w:left="1080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/>
        <w:color w:val="486274"/>
        <w:sz w:val="16"/>
      </w:rPr>
      <w:t>SecureObs • Doctor review, prescribing and care planning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486274"/>
        <w:sz w:val="17"/>
      </w:rPr>
      <w:t>SecureObs Doctor and Prescriber Training Manual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/>
      <w:color w:val="12242E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82A5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45DB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082A5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